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 w:after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2E5496"/>
          <w:sz w:val="26"/>
          <w:szCs w:val="26"/>
        </w:rPr>
        <w:t xml:space="preserve">CONTOSO HOLDING</w:t>
      </w:r>
    </w:p>
    <w:p>
      <w:pPr>
        <w:spacing w:before="200" w:after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48"/>
          <w:szCs w:val="48"/>
        </w:rPr>
        <w:t xml:space="preserve">SÖZLEŞME İNCELEME BECERİSİ</w:t>
      </w:r>
    </w:p>
    <w:p>
      <w:pPr>
        <w:spacing w:before="120" w:after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24"/>
          <w:szCs w:val="24"/>
        </w:rPr>
        <w:t xml:space="preserve">Yeniden Kullanılabilir İnceleme Çerçevesi ve El Kitabı</w:t>
      </w:r>
    </w:p>
    <w:p>
      <w:pPr>
        <w:spacing w:before="500" w:after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Tüm holding hukuk ekipleri için ortak standart</w:t>
      </w:r>
    </w:p>
    <w:p>
      <w:pPr>
        <w:spacing w:before="120" w:after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18"/>
          <w:szCs w:val="18"/>
        </w:rPr>
        <w:t xml:space="preserve">Sürüm 1.0</w:t>
      </w:r>
    </w:p>
    <w:p>
      <w:pPr>
        <w:spacing w:before="900" w:after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7"/>
          <w:szCs w:val="17"/>
        </w:rPr>
        <w:t xml:space="preserve">Bu belge; standart madde kütüphanesi, inceleme kontrol listesi, 420 sözleşmelik envanter,</w:t>
      </w:r>
    </w:p>
    <w:p>
      <w:pPr>
        <w:spacing w:after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7"/>
          <w:szCs w:val="17"/>
        </w:rPr>
        <w:t xml:space="preserve">300 geçmiş redline kararı, onay/eskalasyon matrisi ve terminoloji kuralları analiz edilerek üretilmiştir.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İçindekiler</w:t>
      </w:r>
    </w:p>
    <w:sdt>
      <w:sdtPr>
        <w:alias w:val="İçindekiler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1. Amaç ve Kapsam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İşbu beceri, holdinge bağlı tüm hukuk ekiplerinin gelen sözleşmeleri aynı standartla, aynı hızda ve aynı kalitede incelemesini sağlar. Her ekip sıfırdan yöntem kurmak yerine bu ortak çerçeveyi kullanır; amaç her yeni sözleşmede aynı kaliteyi, tutarlılığı ve hızı tekrar tekrar elde etmektir.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Beceri tek seferde kurulur ve yeniden kullanılır. Girdileri; standart madde kütüphanesi (16 madde), inceleme kontrol listesi (20 kontrol), geçmiş redline kararları (300 kayıt), onay/eskalasyon matrisi, terminoloji ve üslup kuralları ve Contoso standardına uygun örnek sözleşmelerdir.</w:t>
      </w:r>
    </w:p>
    <w:p>
      <w:pPr>
        <w:pStyle w:val="Heading2"/>
      </w:pPr>
      <w:r>
        <w:rPr>
          <w:rFonts w:ascii="Arial" w:cs="Arial" w:eastAsia="Arial" w:hAnsi="Arial"/>
        </w:rPr>
        <w:t xml:space="preserve">Sınırlamalar ve Varsayımlar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00000"/>
          <w:sz w:val="20"/>
          <w:szCs w:val="20"/>
        </w:rPr>
        <w:t xml:space="preserve">Bu belge bir iç iş standardı aracıdır; yasal danışmanlık veya avukatlık hizmeti değildir. Nihai hukuki değerlendirme yetkili avukat/Hukuk Müşaviri sorumluluğundadır.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Standart konumlar, tavizler ve kırmızı çizgiler Contoso'nun kurgusal/örnek iç verisine dayanır; her somut sözleşmenin ticari bağlamı ayrıca değerlendirilmelidir.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Redline önerilerinin ampirik dayanağı 300 geçmiş karardır; geçmiş eğilim, gelecekteki her müzakerenin sonucunu garanti etmez.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Puanlama ölçeği bir önceliklendirme aracıdır; mutlak hukuki risk ölçüsü değildir. Sözleşmenin yönü (Contoso'nun alıcı/satıcı, ödeyen/ödenen taraf olması) sonucu değiştirebilir.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Beceri, mevzuat değişikliklerinde ve yeni redline kararları biriktikçe güncellenmelidir (canlı belge).</w:t>
      </w:r>
    </w:p>
    <w:p>
      <w:pPr>
        <w:pStyle w:val="Heading1"/>
      </w:pPr>
      <w:r>
        <w:rPr>
          <w:rFonts w:ascii="Arial" w:cs="Arial" w:eastAsia="Arial" w:hAnsi="Arial"/>
        </w:rPr>
        <w:t xml:space="preserve">2. Adım Adım İnceleme Yöntemi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Her sözleşme aşağıdaki beş adımlı akıştan geçer: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Sınıflandır — Sözleşme türünü, karşı tarafı, bedeli ve ön risk seviyesini belirle. Bedel &gt; 25M TL ise en baştan üst yönetim eskalasyonu için işaretle.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Tara — Her maddeyi standart madde kütüphanesi ve 20 maddelik kontrol listesiyle karşılaştır. Taslakta bulunmayan standart maddeleri (eksikleri) de not et.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Sapmaları işaretle — Her sapmayı standart / kabul edilebilir taviz / kırmızı çizgi ölçeğinde puanla; kritiklik çarpanını uygula.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Öneri üret — Her sapma için önerilen karşı metni (redline) ve gerekçeyi yaz; geçmiş redline kararlarına dayan.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Eskale et — Sapma seviyesine göre onay merciini belirle, hedef süreyi ata ve tavizi gerekçesiyle kayda geç (kurumsal hafıza).</w:t>
      </w:r>
    </w:p>
    <w:p>
      <w:pPr>
        <w:spacing w:before="40" w:after="8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Hizmet düzeyi (SLA):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Düşük riskli 1 iş günü · Orta riskli 2 iş günü · Yüksek riskli / kırmızı çizgi içeren 3 iş günü (Hukuk Müşaviri onayı). </w:t>
      </w:r>
      <w:r>
        <w:rPr>
          <w:rFonts w:ascii="Arial" w:cs="Arial" w:eastAsia="Arial" w:hAnsi="Arial"/>
          <w:b w:val="false"/>
          <w:bCs w:val="false"/>
          <w:i/>
          <w:iCs/>
          <w:color w:val="595959"/>
          <w:sz w:val="20"/>
          <w:szCs w:val="20"/>
        </w:rPr>
        <w:t xml:space="preserve">Gözlemlenen ortalama inceleme süreleri: Düşük ~4,4 gün · Orta ~11,8 gün · Yüksek ~25,8 gün (420 sözleşmelik envanter).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3. Madde Bazlı Standart Konum Tablosu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8"/>
          <w:szCs w:val="18"/>
        </w:rPr>
        <w:t xml:space="preserve">Kırmızı çizgi sütunu, kabul edilemez konumları gösterir. Kritiklik, sapma puanı çarpanını belirler (Düşük=1, Orta=2, Yüksek=3).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1560"/>
        <w:gridCol w:w="2160"/>
        <w:gridCol w:w="1560"/>
        <w:gridCol w:w="2440"/>
        <w:gridCol w:w="1000"/>
      </w:tblGrid>
      <w:tr>
        <w:trPr>
          <w:tblHeader/>
        </w:trP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Kod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Başlık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Contoso Standart Konumu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Kabul Edilebilir Taviz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Kırmızı Çizgi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Kritiklik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M01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Sorumluluğun Sınırlandırılması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Yıllık sözleşme bedelinin 1 katı ile sınırlı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1,5 kat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Sınırsız sorumluluk / dolaylı zararların dâhil edilmesi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M02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Ödeme Vadesi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Fatura tarihinden itibaren 45 gün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60 gün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90 gün ve üzeri vade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M03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Gizlilik Süresi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Sözleşme bitiminden sonra 3 yıl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5 yıl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Süresiz gizlilik yükümlülüğü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M04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Fesih Bildirimi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30 gün önceden yazılı bildirim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60 gün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Karşı tarafa tek taraflı derhal fesih hakkı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M05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Uyuşmazlık Çözümü ve Yetki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İstanbul Tahkim Merkezi (ISTAC) tahkimi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İstanbul mahkemeleri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Karşı tarafın ülkesi / yabancı mahkeme yetkisi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M06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Cezai Şart Üst Sınırı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Toplam sözleşme bedelinin en çok %10'u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%15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Toplam bedelin %20'sini aşan cezai şart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M07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Fikri Mülkiyet Hakları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Üretilen işlerin hakları Contoso'ya ait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Ortak mülkiyet / geniş lisans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Hakların karşı tarafa devri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M08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Bilgi Güvenliği ve Gizli Veri Eki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Bilgi güvenliği eki imzası zorunlu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Ekin 30 gün içinde tamamlanması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Ek olmadan gizli veri paylaşımı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M09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Devir ve Temlik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Contoso'nun yazılı onayı olmadan devredilemez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Grup içi devre izin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Serbest / onaysız devir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M10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Mücbir Sebep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Tanımlı haller + 30 gün askı sonrası fesih hakkı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45 gün askı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Belirsiz / tek taraflı mücbir sebep tanımı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M11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Ayıba Karşı Tekeffül (Garanti)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Teslimden sonra 12 ay garanti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6 ay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Garanti/ayıp sorumluluğunun tümüyle kaldırılması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M12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Süre ve Yenileme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 yıl; açık yazılı onayla yenileme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30 gün ihbarla otomatik yenileme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1 yıldan uzun otomatik yenileme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M13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Alt Yüklenici Kullanımı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Contoso'nun yazılı onayıyla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Bilgilendirme yeterli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Sınırsız alt yüklenici + sorumluluk aktarımı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M14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Münhasırlık / Rekabet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Münhasırlık yok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Dar kapsamlı, 6 ay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Geniş kapsamlı çok yıllık münhasırlık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M15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Geçerli Dil ve Metin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Türkçe asıl metin geçerli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İki dilli, Türkçe üstün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Yabancı dil metninin üstün tutulması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M16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Denetim Hakkı</w:t>
            </w:r>
          </w:p>
        </w:tc>
        <w:tc>
          <w:tcPr>
            <w:tcW w:type="dxa" w:w="2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Yılda bir denetim hakkı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İki yılda bir</w:t>
            </w:r>
          </w:p>
        </w:tc>
        <w:tc>
          <w:tcPr>
            <w:tcW w:type="dxa" w:w="2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Denetim hakkının tümüyle reddi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4. İnceleme Kontrol Listesi (20 Kontrol)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8"/>
          <w:szCs w:val="18"/>
        </w:rPr>
        <w:t xml:space="preserve">Her sözleşmede aşağıdaki kontroller sırayla uygulanır. 'Otomatik' sütunu, kontrolün kural tabanlı taranabilir olup olmadığını gösterir.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1400"/>
        <w:gridCol w:w="4560"/>
        <w:gridCol w:w="1360"/>
        <w:gridCol w:w="1400"/>
      </w:tblGrid>
      <w:tr>
        <w:trPr>
          <w:tblHeader/>
        </w:trP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No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Kategori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Kontrol Sorusu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Kritiklik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Otomatik?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K01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Sorumluluk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Sorumluluk sınırı tanımlı ve standart aralıkta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K02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Sorumluluk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Dolaylı/netice kabîlinden zararlar hariç tutulmuş mu?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K03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Ödeme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Ödeme vadesi 45 günü aşıyor mu?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K04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Ödeme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Gecikme faizi ve para birimi net mi?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K05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Gizlilik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Gizlilik süresi ve kapsamı standart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K06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Fesih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Karşılıklı ve dengeli fesih hakkı var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K07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Uyuşmazlık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Yetki/tahkim maddesi Contoso lehine mi?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K08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Cezai Şart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Cezai şart üst sınırı aşılmış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K09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Fikri Mülkiyet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Üretilen işlerin hakları korunuyor mu?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K10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Bilgi Güvenliği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Bilgi güvenliği/gizli veri eki mevcut mu?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K11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Devir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Devir yasağı / onay şartı var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K12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Mücbir Sebep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Mücbir sebep tanımı dengeli mi?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6"/>
                <w:szCs w:val="16"/>
              </w:rPr>
              <w:t xml:space="preserve">Hayır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K13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Garanti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Garanti süresi yeterli mi?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6"/>
                <w:szCs w:val="16"/>
              </w:rPr>
              <w:t xml:space="preserve">Hayır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K14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Süre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Otomatik yenileme riski var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K15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Münhasırlık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Contoso'yu bağlayan münhasırlık var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K16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Dil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Geçerli dil ve metin Türkçe mi?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K17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İmza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İmza yetkisi ve temsil doğrulandı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6"/>
                <w:szCs w:val="16"/>
              </w:rPr>
              <w:t xml:space="preserve">Hayır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K18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Tanım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Tanımlar bölümü tutarlı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6"/>
                <w:szCs w:val="16"/>
              </w:rPr>
              <w:t xml:space="preserve">Hayır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K19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Ekler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Tüm ekler mevcut ve numaralı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6"/>
                <w:szCs w:val="16"/>
              </w:rPr>
              <w:t xml:space="preserve">Hayır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K20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Denetim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Denetim ve raporlama hakkı var mı?</w:t>
            </w:r>
          </w:p>
        </w:tc>
        <w:tc>
          <w:tcPr>
            <w:tcW w:type="dxa" w:w="1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Evet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5. Sapma Puanlama Ölçeği</w:t>
      </w:r>
    </w:p>
    <w:p>
      <w:pPr>
        <w:spacing w:before="40" w:after="8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Madde risk puanı = Sapma taban puanı × Kritiklik çarpanı.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Sözleşme risk endeksi = 100 × (toplam madde puanı ÷ azami olası puan).</w:t>
      </w:r>
    </w:p>
    <w:p>
      <w:pPr>
        <w:pStyle w:val="Heading2"/>
      </w:pPr>
      <w:r>
        <w:rPr>
          <w:rFonts w:ascii="Arial" w:cs="Arial" w:eastAsia="Arial" w:hAnsi="Arial"/>
        </w:rPr>
        <w:t xml:space="preserve">5.1 Sapma taban puanı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160"/>
        <w:gridCol w:w="1600"/>
      </w:tblGrid>
      <w:tr>
        <w:trPr>
          <w:tblHeader/>
        </w:trP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Seviye</w:t>
            </w:r>
          </w:p>
        </w:tc>
        <w:tc>
          <w:tcPr>
            <w:tcW w:type="dxa" w:w="5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Tanım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Taban Puan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Standart</w:t>
            </w:r>
          </w:p>
        </w:tc>
        <w:tc>
          <w:tcPr>
            <w:tcW w:type="dxa" w:w="5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Contoso standart konumuyla örtüşüyor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0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DF0D5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Kabul edilebilir taviz</w:t>
            </w:r>
          </w:p>
        </w:tc>
        <w:tc>
          <w:tcPr>
            <w:tcW w:type="dxa" w:w="5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Kütüphanedeki taviz aralığında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1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Kırmızı çizgi</w:t>
            </w:r>
          </w:p>
        </w:tc>
        <w:tc>
          <w:tcPr>
            <w:tcW w:type="dxa" w:w="5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Kütüphanedeki kırmızı çizgiyi ihlal ediyor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3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</w:rPr>
        <w:t xml:space="preserve">5.2 Risk endeksi bandı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5160"/>
      </w:tblGrid>
      <w:tr>
        <w:trPr>
          <w:tblHeader/>
        </w:trP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Endeks (0–100)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Kategori</w:t>
            </w:r>
          </w:p>
        </w:tc>
        <w:tc>
          <w:tcPr>
            <w:tcW w:type="dxa" w:w="5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Kural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0–20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Düşük</w:t>
            </w:r>
          </w:p>
        </w:tc>
        <w:tc>
          <w:tcPr>
            <w:tcW w:type="dxa" w:w="5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Ekip içinde çözülür (SLA 1 iş günü)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21–45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  <w:tc>
          <w:tcPr>
            <w:tcW w:type="dxa" w:w="5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Kıdemli avukat onayı (SLA 2 iş günü)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46–70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Yüksek</w:t>
            </w:r>
          </w:p>
        </w:tc>
        <w:tc>
          <w:tcPr>
            <w:tcW w:type="dxa" w:w="5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Hukuk Müşaviri (GC) onayı (SLA 3 iş günü)</w:t>
            </w:r>
          </w:p>
        </w:tc>
      </w:tr>
      <w:tr>
        <w:tc>
          <w:tcPr>
            <w:tcW w:type="dxa" w:w="2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71–100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Kritik</w:t>
            </w:r>
          </w:p>
        </w:tc>
        <w:tc>
          <w:tcPr>
            <w:tcW w:type="dxa" w:w="5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GC + üst yönetim</w:t>
            </w:r>
          </w:p>
        </w:tc>
      </w:tr>
    </w:tbl>
    <w:p>
      <w:pPr>
        <w:spacing w:before="40" w:after="8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Yükseltme kuralı: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Bir sözleşmede 3 veya daha fazla kırmızı çizgi bulunması durumunda, endeks hangi banda düşerse düşsün kategori otomatik olarak 'Kritik' kabul edilir.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6. Önerilen Redline Kalıpları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8"/>
          <w:szCs w:val="18"/>
        </w:rPr>
        <w:t xml:space="preserve">Aşağıdaki karşı metin kalıpları, 300 geçmiş redline kararının madde bazlı sonuç dağılımına dayanır. Yüzdeler, karşı tarafın agresif talebinin geçmişte hangi oranda tutunduğunu (veya Contoso lehine döndüğünü) gösterir.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1300"/>
        <w:gridCol w:w="1900"/>
        <w:gridCol w:w="2860"/>
        <w:gridCol w:w="2660"/>
      </w:tblGrid>
      <w:tr>
        <w:trPr>
          <w:tblHeader/>
        </w:trP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Kod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Madde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Karşı Taraf Tipik Talebi</w:t>
            </w:r>
          </w:p>
        </w:tc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Önerilen Redline (Contoso Konumu)</w:t>
            </w:r>
          </w:p>
        </w:tc>
        <w:tc>
          <w:tcPr>
            <w:tcW w:type="dxa" w:w="2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Ampirik Dayanak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M01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Sorumluluk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Sınırsız / dolaylı zararlar dâhil</w:t>
            </w:r>
          </w:p>
        </w:tc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6"/>
                <w:szCs w:val="16"/>
              </w:rPr>
              <w:t xml:space="preserve">Simetrik olarak yıllık bedelin 1 katı; dolaylı ve netice kabîlinden zararlar hariç. En fazla 1,25 kat.</w:t>
            </w:r>
          </w:p>
        </w:tc>
        <w:tc>
          <w:tcPr>
            <w:tcW w:type="dxa" w:w="2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Sınırsız talep yalnızca %9 tutundu; en sık 1,25 kat uzlaşı (%50) veya 1 kat (%41).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M02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Ödeme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90–120 gün vade</w:t>
            </w:r>
          </w:p>
        </w:tc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6"/>
                <w:szCs w:val="16"/>
              </w:rPr>
              <w:t xml:space="preserve">45 gün standart; en fazla 60 gün.</w:t>
            </w:r>
          </w:p>
        </w:tc>
        <w:tc>
          <w:tcPr>
            <w:tcW w:type="dxa" w:w="2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120 gün talebi yalnızca %14 tutundu; en sık 60 gün uzlaşı (%49) veya 45 gün (%38).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M05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Uyuşmazlık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Yabancı mahkeme / hukuk</w:t>
            </w:r>
          </w:p>
        </w:tc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6"/>
                <w:szCs w:val="16"/>
              </w:rPr>
              <w:t xml:space="preserve">İstanbul Tahkim Merkezi (ISTAC) + Türk hukuku; en fazla İstanbul mahkemeleri.</w:t>
            </w:r>
          </w:p>
        </w:tc>
        <w:tc>
          <w:tcPr>
            <w:tcW w:type="dxa" w:w="2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Yabancı mahkeme yalnızca %11 tutundu; %51 İstanbul Tahkim.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M06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Cezai Şart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%20+ (ör. %25)</w:t>
            </w:r>
          </w:p>
        </w:tc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6"/>
                <w:szCs w:val="16"/>
              </w:rPr>
              <w:t xml:space="preserve">Toplam bedelin %10'u; en fazla %12.</w:t>
            </w:r>
          </w:p>
        </w:tc>
        <w:tc>
          <w:tcPr>
            <w:tcW w:type="dxa" w:w="2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%25 yalnızca %14 tutundu; en sık %10 (%48) veya %12 uzlaşı (%39).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M07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Fikri Mülkiyet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Hakların karşı tarafa devri</w:t>
            </w:r>
          </w:p>
        </w:tc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6"/>
                <w:szCs w:val="16"/>
              </w:rPr>
              <w:t xml:space="preserve">Haklar Contoso'da; önceden var olan bileşenlere sınırlı lisans.</w:t>
            </w:r>
          </w:p>
        </w:tc>
        <w:tc>
          <w:tcPr>
            <w:tcW w:type="dxa" w:w="2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Devir yalnızca %3 tutundu; %62 Contoso'da kalması, %36 sınırlı lisans.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M08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Bilgi Güvenliği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Ek istenmiyor</w:t>
            </w:r>
          </w:p>
        </w:tc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6"/>
                <w:szCs w:val="16"/>
              </w:rPr>
              <w:t xml:space="preserve">İmzalı Bilgi Güvenliği Eki zorunlu; en fazla 30 gün içinde tamamlama.</w:t>
            </w:r>
          </w:p>
        </w:tc>
        <w:tc>
          <w:tcPr>
            <w:tcW w:type="dxa" w:w="2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Eksiz paylaşım yalnızca %11 tutundu; %57 ek zorunlu.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M12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Süre/Yenileme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2–3 yıl otomatik yenileme</w:t>
            </w:r>
          </w:p>
        </w:tc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6"/>
                <w:szCs w:val="16"/>
              </w:rPr>
              <w:t xml:space="preserve">Yalnızca açık yazılı onayla yenileme; en fazla 30 gün ihbarlı.</w:t>
            </w:r>
          </w:p>
        </w:tc>
        <w:tc>
          <w:tcPr>
            <w:tcW w:type="dxa" w:w="2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Uzun otomatik yenileme yalnızca %18 tutundu; %44 açık onayla yenileme.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M14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Münhasırlık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Çok yıllık münhasırlık</w:t>
            </w:r>
          </w:p>
        </w:tc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6"/>
                <w:szCs w:val="16"/>
              </w:rPr>
              <w:t xml:space="preserve">Münhasırlık yok; en fazla dar kapsamlı 6 ay.</w:t>
            </w:r>
          </w:p>
        </w:tc>
        <w:tc>
          <w:tcPr>
            <w:tcW w:type="dxa" w:w="2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3 yıl münhasırlık yalnızca %8 tutundu; %56 münhasırlık yok, %36 6 ay dar kapsam.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7. Onay Merci Eşlemesi ve Eskalasyon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Onay merci, sapma seviyesi ve madde kritikliğine göre belirlenir. Kırmızı çizgi ihlallerinde Hukuk Müşaviri (GC) onayı her hâlükârda zorunludur.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60"/>
        <w:gridCol w:w="1600"/>
        <w:gridCol w:w="2500"/>
      </w:tblGrid>
      <w:tr>
        <w:trPr>
          <w:tblHeader/>
        </w:trP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Sapma Durumu</w:t>
            </w:r>
          </w:p>
        </w:tc>
        <w:tc>
          <w:tcPr>
            <w:tcW w:type="dxa" w:w="22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Onay Merci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Hedef Süre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Kural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6"/>
                <w:szCs w:val="16"/>
              </w:rPr>
              <w:t xml:space="preserve">Standart (uyumlu)</w:t>
            </w:r>
          </w:p>
        </w:tc>
        <w:tc>
          <w:tcPr>
            <w:tcW w:type="dxa" w:w="22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Onay gerekmez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Ekip avukatı dosyalar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Kabul edilebilir taviz — Düşük kritiklik</w:t>
            </w:r>
          </w:p>
        </w:tc>
        <w:tc>
          <w:tcPr>
            <w:tcW w:type="dxa" w:w="22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Ekip avukatı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 iş günü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Hukuk ekibi kendi içinde çözer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6"/>
                <w:szCs w:val="16"/>
              </w:rPr>
              <w:t xml:space="preserve">Kabul edilebilir taviz — Orta kritiklik</w:t>
            </w:r>
          </w:p>
        </w:tc>
        <w:tc>
          <w:tcPr>
            <w:tcW w:type="dxa" w:w="22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Kıdemli avukat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 iş günü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Kıdemli avukat onayı; taviz kaydı tutulur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Kırmızı çizgi (veya Yüksek kritiklik taviz)</w:t>
            </w:r>
          </w:p>
        </w:tc>
        <w:tc>
          <w:tcPr>
            <w:tcW w:type="dxa" w:w="22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Hukuk Müşaviri (GC)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3 iş günü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Kırmızı çizgi ihlalinde GC onayı zorunlu</w:t>
            </w:r>
          </w:p>
        </w:tc>
      </w:tr>
      <w:tr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6"/>
                <w:szCs w:val="16"/>
              </w:rPr>
              <w:t xml:space="preserve">Kırmızı çizgi ısrarı veya bedel &gt; 25M TL</w:t>
            </w:r>
          </w:p>
        </w:tc>
        <w:tc>
          <w:tcPr>
            <w:tcW w:type="dxa" w:w="22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Genel Müdür + Yönetim Kurulu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5 iş günü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Üst yönetime eskalasyon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</w:rPr>
        <w:t xml:space="preserve">8. Terminoloji ve Üslup Kuralları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Metin Türkçe yazılır; tanımlı terimler ilk harfi büyük yazılır ve Tanımlar bölümünde açıklanır.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Standart terimler kullanılır: “işbu Sözleşme” (‘bu kontrat’ değil), “Taraflar” (Alıcı/Satıcı yerine tanımlı ad), “Gizli Bilgi”, “Mücbir Sebep”.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“yürürlük” (‘geçerlilik’ yerine), “fesih” (‘iptal’ yerine sözleşmesel sona erme için) tercih edilir.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“tazminat” ile “cezai şart” ayrı terimlerdir; karıştırılmaz. Ceza, tazminatla eş anlamlı kullanılmaz.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Tüm ekler numaralı ve metne atıflı olmalıdır (“ekbinde”).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Öneriler kısa, gerekçeli ve eyleme dönük yazılır: “Şu maddeyi şu şekilde değiştirin, çünkü …”.</w:t>
      </w:r>
    </w:p>
    <w:p>
      <w:pPr>
        <w:pStyle w:val="Heading1"/>
      </w:pPr>
      <w:r>
        <w:rPr>
          <w:rFonts w:ascii="Arial" w:cs="Arial" w:eastAsia="Arial" w:hAnsi="Arial"/>
        </w:rPr>
        <w:t xml:space="preserve">9. Beceriyi Uygulama ve Yeniden Kullanım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Bu belge; standart madde kütüphanesi, kontrol listesi ve geçmiş redline kararlarıyla birlikte, tek seferde kurulup tüm hukuk ekiplerince yeniden kullanılabilir bir inceleme becerisine dönüşür. Yeni bir sözleşme geldiğinde: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Sözleşmeyi 2. Bölümdeki beş adımlı akıştan geçir.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Her maddeyi 3. Bölümdeki standart konum tablosuyla karşılaştır ve 4. Bölümdeki kontrol listesini uygula.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Sapmaları 5. Bölümdeki ölçekle puanla; sözleşme risk endeksini hesapla.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6. Bölümdeki kalıpları kullanarak her sapma için redline ve gerekçe üret.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7. Bölüme göre onay merciini belirle; tavizleri kurumsal hafızaya kaydet.</w:t>
      </w:r>
    </w:p>
    <w:p>
      <w:pPr>
        <w:spacing w:before="40" w:after="8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Çıktı formatı: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Her inceleme için (a) yönetici özeti + madde bazlı sapma tablosu + risk endeksi içeren bir inceleme notu ve (b) madde sapma/risk kütüğü (Excel) üretilir. Bu belgenin eşlik ettiği örnek uygulama, 'Northwind Global' taslağı üzerinde bu çıktıların nasıl görüneceğini gösterir.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20"/>
          <w:szCs w:val="20"/>
        </w:rPr>
        <w:t xml:space="preserve">Bu bir canlı belgedir: yeni redline kararları biriktikçe yüzdeler ve kalıplar güncellenmeli, mevzuat değişiklikleri standart konumlara yansıtılmalıdır.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595959"/>
        <w:sz w:val="15"/>
        <w:szCs w:val="15"/>
      </w:rPr>
      <w:t xml:space="preserve">Sayfa </w:t>
    </w:r>
    <w:r>
      <w:rPr>
        <w:rFonts w:ascii="Arial" w:cs="Arial" w:eastAsia="Arial" w:hAnsi="Arial"/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595959"/>
        <w:sz w:val="15"/>
        <w:szCs w:val="15"/>
      </w:rPr>
      <w:t xml:space="preserve"> · İç iş standardı — yasal danışmanlık değildir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Arial" w:cs="Arial" w:eastAsia="Arial" w:hAnsi="Arial"/>
        <w:b w:val="false"/>
        <w:bCs w:val="false"/>
        <w:i/>
        <w:iCs/>
        <w:color w:val="595959"/>
        <w:sz w:val="15"/>
        <w:szCs w:val="15"/>
      </w:rPr>
      <w:t xml:space="preserve">Contoso Holding Hukuk · Sözleşme İnceleme Becerisi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2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5496" w:sz="6" w:space="4"/>
      </w:pBdr>
      <w:spacing w:before="300" w:after="160"/>
      <w:outlineLvl w:val="0"/>
    </w:pPr>
    <w:rPr>
      <w:rFonts w:ascii="Arial" w:cs="Arial" w:eastAsia="Arial" w:hAnsi="Arial"/>
      <w:b/>
      <w:bCs/>
      <w:color w:val="1F3864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E549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Contoso Holding Hukuk</dc:creator>
  <cp:lastModifiedBy>Un-named</cp:lastModifiedBy>
  <cp:revision>1</cp:revision>
  <dcterms:created xsi:type="dcterms:W3CDTF">2026-07-11T12:11:01.740Z</dcterms:created>
  <dcterms:modified xsi:type="dcterms:W3CDTF">2026-07-11T12:11:01.756Z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